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4B201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tbl>
      <w:tblPr>
        <w:tblpPr w:leftFromText="141" w:rightFromText="141" w:vertAnchor="text" w:horzAnchor="margin" w:tblpXSpec="center" w:tblpY="4"/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8"/>
      </w:tblGrid>
      <w:tr w:rsidR="00A04993" w:rsidRPr="00AB0E39" w14:paraId="5A5EB3A6" w14:textId="77777777" w:rsidTr="00E65F21">
        <w:trPr>
          <w:trHeight w:val="150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DBBBC" w14:textId="42C412C9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</w:t>
            </w:r>
            <w:r w:rsidR="00E506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26-042</w:t>
            </w:r>
          </w:p>
          <w:p w14:paraId="1E780E04" w14:textId="77777777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7EBE6672" w14:textId="09652603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Lot</w:t>
            </w:r>
            <w:r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6819D9">
              <w:rPr>
                <w:rFonts w:eastAsia="Open Sans" w:cs="Calibri"/>
                <w:b/>
                <w:bCs/>
                <w:color w:val="auto"/>
                <w:sz w:val="28"/>
                <w:szCs w:val="28"/>
                <w:u w:val="single"/>
              </w:rPr>
              <w:t>01</w:t>
            </w:r>
          </w:p>
          <w:p w14:paraId="696D300D" w14:textId="77777777" w:rsidR="00A04993" w:rsidRPr="00AB0E39" w:rsidRDefault="00A04993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1CD960AE" w14:textId="2CC18C25" w:rsidR="00A04993" w:rsidRPr="00AB0E39" w:rsidRDefault="006819D9" w:rsidP="00E65F21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 w:rsidRPr="006819D9"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 xml:space="preserve">Maintenance SSI et prestations associées de l’hôpital BEAUJON et </w:t>
            </w:r>
            <w:r w:rsidR="004C4404"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 xml:space="preserve">LOUIS </w:t>
            </w:r>
            <w:r w:rsidRPr="006819D9"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>MOURIER</w:t>
            </w:r>
          </w:p>
        </w:tc>
      </w:tr>
    </w:tbl>
    <w:p w14:paraId="7E1EC93C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7E1AEC25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69E23044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25627F0A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4EB07068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61D53473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4B4A047B" w14:textId="77777777" w:rsidR="00A04993" w:rsidRDefault="00A04993" w:rsidP="00A04993">
      <w:pPr>
        <w:pStyle w:val="6Annex"/>
        <w:numPr>
          <w:ilvl w:val="0"/>
          <w:numId w:val="0"/>
        </w:numPr>
        <w:rPr>
          <w:u w:val="single"/>
        </w:rPr>
      </w:pPr>
    </w:p>
    <w:p w14:paraId="719AC151" w14:textId="77777777" w:rsidR="00A04993" w:rsidRPr="00FE21CB" w:rsidRDefault="00A04993" w:rsidP="00A04993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Pr="00FE21CB">
        <w:t>Cadre de réponse technique</w:t>
      </w:r>
      <w:r>
        <w:t xml:space="preserve"> </w:t>
      </w:r>
    </w:p>
    <w:p w14:paraId="58F72A13" w14:textId="77777777" w:rsidR="00A04993" w:rsidRDefault="00A04993" w:rsidP="00A04993">
      <w:pPr>
        <w:rPr>
          <w:rFonts w:eastAsia="Arial Unicode MS"/>
        </w:rPr>
      </w:pPr>
    </w:p>
    <w:p w14:paraId="1D15F93D" w14:textId="77777777" w:rsidR="00A04993" w:rsidRDefault="00A04993" w:rsidP="00A04993">
      <w:pPr>
        <w:rPr>
          <w:rFonts w:eastAsia="Arial Unicode MS"/>
        </w:rPr>
      </w:pPr>
    </w:p>
    <w:p w14:paraId="6F0766EF" w14:textId="77777777" w:rsidR="00A04993" w:rsidRDefault="00A04993" w:rsidP="00A04993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>
        <w:rPr>
          <w:rFonts w:eastAsia="Arial Unicode MS"/>
        </w:rPr>
        <w:t xml:space="preserve">doit </w:t>
      </w:r>
      <w:r w:rsidRPr="00BC31BE">
        <w:rPr>
          <w:rFonts w:eastAsia="Arial Unicode MS"/>
          <w:u w:val="single"/>
        </w:rPr>
        <w:t>obligatoirement</w:t>
      </w:r>
      <w:r>
        <w:rPr>
          <w:rFonts w:eastAsia="Arial Unicode MS"/>
        </w:rPr>
        <w:t xml:space="preserve"> remplir le présent cadre de réponse technique en respectant sa structure. </w:t>
      </w:r>
    </w:p>
    <w:p w14:paraId="0A04CD7F" w14:textId="77777777" w:rsidR="00A04993" w:rsidRPr="001F16C2" w:rsidRDefault="00A04993" w:rsidP="00A04993">
      <w:pPr>
        <w:spacing w:after="240"/>
        <w:rPr>
          <w:rFonts w:eastAsia="Arial Unicode MS"/>
          <w:u w:val="single"/>
        </w:rPr>
      </w:pPr>
      <w:r w:rsidRPr="001F16C2">
        <w:rPr>
          <w:rFonts w:eastAsia="Arial Unicode MS"/>
          <w:u w:val="single"/>
        </w:rPr>
        <w:t xml:space="preserve">Le contenu du CRT ne peut nullement se borner à des renvois au mémoire technique ou à des documents annexes. </w:t>
      </w:r>
    </w:p>
    <w:p w14:paraId="754C3F8D" w14:textId="77777777" w:rsidR="00A04993" w:rsidRDefault="00A04993" w:rsidP="00A04993">
      <w:pPr>
        <w:spacing w:after="240"/>
        <w:rPr>
          <w:rFonts w:eastAsia="Arial Unicode MS"/>
        </w:rPr>
      </w:pPr>
      <w:r w:rsidRPr="001F16C2">
        <w:rPr>
          <w:rFonts w:eastAsia="Arial Unicode MS"/>
          <w:u w:val="single"/>
        </w:rPr>
        <w:t>Des renvois sont autorisés mais ces derniers doivent être limités et ils doivent préciser la ou les page(s) et le(s) paragraphe(s) du mémoire technique et/ou documents annexes concerné(s).</w:t>
      </w:r>
    </w:p>
    <w:p w14:paraId="092EE9D4" w14:textId="77777777" w:rsidR="00A04993" w:rsidRPr="006D03B6" w:rsidRDefault="00A04993" w:rsidP="00A04993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67CD292E" w14:textId="77777777" w:rsidR="00A04993" w:rsidRDefault="00A04993" w:rsidP="00A04993">
      <w:pPr>
        <w:spacing w:after="240"/>
        <w:rPr>
          <w:rFonts w:eastAsia="Arial Unicode MS"/>
          <w:b/>
          <w:bCs/>
          <w:color w:val="C00000"/>
        </w:rPr>
      </w:pPr>
    </w:p>
    <w:p w14:paraId="44B1A845" w14:textId="77777777" w:rsidR="00A04993" w:rsidRPr="001F16C2" w:rsidRDefault="00A04993" w:rsidP="00A04993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</w:t>
      </w:r>
      <w:r>
        <w:rPr>
          <w:rFonts w:eastAsia="Arial Unicode MS"/>
          <w:b/>
          <w:bCs/>
          <w:color w:val="C00000"/>
        </w:rPr>
        <w:t>.</w:t>
      </w:r>
    </w:p>
    <w:p w14:paraId="6E9141BF" w14:textId="77777777" w:rsidR="00A04993" w:rsidRDefault="00A04993" w:rsidP="00A04993">
      <w:pPr>
        <w:rPr>
          <w:rFonts w:eastAsia="Arial Unicode MS"/>
        </w:rPr>
      </w:pPr>
    </w:p>
    <w:p w14:paraId="55941EB1" w14:textId="77777777" w:rsidR="00A04993" w:rsidRPr="00C53A75" w:rsidRDefault="00A04993" w:rsidP="00A04993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2E6A5221" w14:textId="77777777" w:rsidR="00A04993" w:rsidRDefault="00A04993" w:rsidP="00A04993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ADABF" wp14:editId="2256A921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7325778A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F67F0C0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518BED43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019F265" w14:textId="77777777" w:rsidR="00A04993" w:rsidRPr="00C53A75" w:rsidRDefault="00A04993" w:rsidP="00A0499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546ADA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" fillcolor="window" strokecolor="#c00000" strokeweight="2.25pt">
                <v:textbox>
                  <w:txbxContent>
                    <w:p w14:paraId="7325778A" w14:textId="77777777" w:rsidR="00A04993" w:rsidRPr="00C53A75" w:rsidRDefault="00A04993" w:rsidP="00A04993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7F67F0C0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518BED43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</w:p>
                    <w:p w14:paraId="0019F265" w14:textId="77777777" w:rsidR="00A04993" w:rsidRPr="00C53A75" w:rsidRDefault="00A04993" w:rsidP="00A04993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DD900F" w14:textId="77777777" w:rsidR="00A04993" w:rsidRDefault="00A04993" w:rsidP="00A04993">
      <w:pPr>
        <w:rPr>
          <w:rFonts w:eastAsia="Arial Unicode MS"/>
        </w:rPr>
      </w:pPr>
    </w:p>
    <w:p w14:paraId="31EC61A6" w14:textId="77777777" w:rsidR="00A04993" w:rsidRDefault="00A04993" w:rsidP="00A04993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1B681C7E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61D47">
        <w:rPr>
          <w:rFonts w:eastAsia="Arial Unicode MS"/>
          <w:b/>
          <w:bCs/>
          <w:sz w:val="22"/>
          <w:szCs w:val="22"/>
          <w:u w:val="single"/>
        </w:rPr>
        <w:t>45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7ED529B6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critère 1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 :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F61D47" w:rsidRP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Organisation et Méthodologie</w:t>
      </w:r>
      <w:r w:rsidR="00EA33BF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6819D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35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AD161B">
        <w:trPr>
          <w:trHeight w:val="3501"/>
          <w:jc w:val="center"/>
        </w:trPr>
        <w:tc>
          <w:tcPr>
            <w:tcW w:w="5665" w:type="dxa"/>
            <w:vAlign w:val="center"/>
          </w:tcPr>
          <w:p w14:paraId="33BE1941" w14:textId="3AC359F9" w:rsidR="00AD161B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la maintenance préventive</w:t>
            </w:r>
            <w:r w:rsidRPr="00F61D47">
              <w:rPr>
                <w:b/>
                <w:bCs/>
              </w:rPr>
              <w:t xml:space="preserve">, </w:t>
            </w:r>
            <w:r w:rsidRPr="00B140FC">
              <w:t>il est attendu une description de la méthodologie proposée par l’entreprise pour réaliser la maintenance préventive des installations pour chaque site, le cas échéant, justification si recours à la sous-traitance</w:t>
            </w:r>
          </w:p>
          <w:p w14:paraId="298ADC54" w14:textId="10F44218" w:rsidR="00F61D47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les vérifications réglementaires périodiques</w:t>
            </w:r>
            <w:r w:rsidRPr="00B140FC">
              <w:t>, il est attendu une description de la méthodologie proposée par l’entreprise pour suivre et traiter observations issues des vérifications réglementaires qui sont confiées par le Maître d’ouvrage à un organisme agréé, et pour traiter celles qui lui sont confiées ;</w:t>
            </w:r>
          </w:p>
          <w:p w14:paraId="2BFD4228" w14:textId="7A9CC5F6" w:rsidR="00F61D47" w:rsidRPr="00F61D47" w:rsidRDefault="00F61D47" w:rsidP="00F61D47">
            <w:pPr>
              <w:pStyle w:val="Paragraphedeliste"/>
              <w:numPr>
                <w:ilvl w:val="0"/>
                <w:numId w:val="8"/>
              </w:numPr>
            </w:pPr>
            <w:r w:rsidRPr="00F61D47">
              <w:rPr>
                <w:b/>
                <w:bCs/>
                <w:i/>
                <w:iCs/>
                <w:u w:val="single"/>
              </w:rPr>
              <w:t>Pour le Calendrier des opérations programmées, présence sur le site</w:t>
            </w:r>
            <w:r w:rsidRPr="00F61D47">
              <w:rPr>
                <w:b/>
                <w:bCs/>
              </w:rPr>
              <w:t xml:space="preserve"> : </w:t>
            </w:r>
            <w:r w:rsidRPr="00B140FC">
              <w:t>il est attendu une description de la méthodologie proposée par l’entreprise pour établir ce calendrier et les outils de suivi pour garantir son respect.</w:t>
            </w:r>
          </w:p>
          <w:p w14:paraId="03FC6ECE" w14:textId="399676A4" w:rsidR="00F61D47" w:rsidRPr="00F61D47" w:rsidRDefault="00F61D47" w:rsidP="00F61D47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left"/>
              <w:rPr>
                <w:b/>
                <w:bCs/>
              </w:rPr>
            </w:pPr>
            <w:r w:rsidRPr="00F61D47">
              <w:rPr>
                <w:b/>
                <w:bCs/>
                <w:i/>
                <w:iCs/>
                <w:u w:val="single"/>
              </w:rPr>
              <w:t>Pour la maintenance corrective / petits travaux</w:t>
            </w:r>
            <w:r w:rsidRPr="007A4EDA">
              <w:rPr>
                <w:b/>
                <w:bCs/>
              </w:rPr>
              <w:t xml:space="preserve"> : </w:t>
            </w:r>
            <w:r w:rsidRPr="00B140FC">
              <w:t>Il est attendu une description de l’organisation proposée par l’entreprise pour assurer la maintenance corrective, et les petits travaux, et le cas échéant, une justification du recours à la sous-traitance.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1B3588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7BE0DBA4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> </w:t>
      </w:r>
      <w:r w:rsidR="002054EE"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: </w:t>
      </w:r>
      <w:r w:rsidR="00F61D47" w:rsidRPr="00F61D4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humains, logistiques, techniques et informatiques </w:t>
      </w:r>
      <w:r w:rsidR="002054EE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6819D9">
        <w:rPr>
          <w:rFonts w:eastAsia="Arial Unicode MS"/>
          <w:b/>
          <w:bCs/>
          <w:i/>
          <w:iCs/>
          <w:sz w:val="20"/>
          <w:szCs w:val="20"/>
          <w:u w:val="single"/>
        </w:rPr>
        <w:t>35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337AD4">
        <w:trPr>
          <w:trHeight w:val="2098"/>
        </w:trPr>
        <w:tc>
          <w:tcPr>
            <w:tcW w:w="5807" w:type="dxa"/>
            <w:vAlign w:val="center"/>
          </w:tcPr>
          <w:p w14:paraId="6BABC941" w14:textId="35895961" w:rsidR="00F61D47" w:rsidRPr="00F61D47" w:rsidRDefault="00F61D47" w:rsidP="00F61D47">
            <w:pPr>
              <w:pStyle w:val="RedaliaNormal"/>
              <w:numPr>
                <w:ilvl w:val="0"/>
                <w:numId w:val="8"/>
              </w:numPr>
              <w:rPr>
                <w:b/>
                <w:bCs/>
              </w:rPr>
            </w:pPr>
            <w:r w:rsidRPr="00322EC2">
              <w:rPr>
                <w:b/>
                <w:bCs/>
                <w:i/>
                <w:iCs/>
                <w:u w:val="single"/>
              </w:rPr>
              <w:t xml:space="preserve">Pour les moyens </w:t>
            </w:r>
            <w:r w:rsidR="00322EC2">
              <w:rPr>
                <w:b/>
                <w:bCs/>
                <w:i/>
                <w:iCs/>
                <w:u w:val="single"/>
              </w:rPr>
              <w:t xml:space="preserve">humains </w:t>
            </w:r>
            <w:r w:rsidRPr="00322EC2">
              <w:rPr>
                <w:b/>
                <w:bCs/>
                <w:i/>
                <w:iCs/>
                <w:u w:val="single"/>
              </w:rPr>
              <w:t>affectés au site</w:t>
            </w:r>
            <w:r>
              <w:rPr>
                <w:b/>
                <w:bCs/>
                <w:i/>
                <w:iCs/>
              </w:rPr>
              <w:t xml:space="preserve">, </w:t>
            </w:r>
            <w:r w:rsidR="00322EC2" w:rsidRPr="003175C1">
              <w:t>il est attendu du candidat la transmission d’un</w:t>
            </w:r>
            <w:r w:rsidRPr="003175C1">
              <w:t xml:space="preserve"> organigramme</w:t>
            </w:r>
            <w:r w:rsidR="003175C1">
              <w:t xml:space="preserve">, </w:t>
            </w:r>
            <w:r w:rsidR="00322EC2" w:rsidRPr="003175C1">
              <w:t xml:space="preserve">les </w:t>
            </w:r>
            <w:r w:rsidRPr="003175C1">
              <w:t xml:space="preserve">missions des intervenants pressentis pour le marché, </w:t>
            </w:r>
            <w:r w:rsidR="006819D9">
              <w:t xml:space="preserve">une description de </w:t>
            </w:r>
            <w:r w:rsidR="00322EC2" w:rsidRPr="003175C1">
              <w:t>l’</w:t>
            </w:r>
            <w:r w:rsidRPr="003175C1">
              <w:t>encadrement et coordination de ces intervenants,</w:t>
            </w:r>
            <w:r w:rsidR="00322EC2" w:rsidRPr="003175C1">
              <w:t xml:space="preserve"> la </w:t>
            </w:r>
            <w:r w:rsidRPr="003175C1">
              <w:t xml:space="preserve">qualification du personnel, </w:t>
            </w:r>
            <w:r w:rsidR="00322EC2" w:rsidRPr="003175C1">
              <w:t>l’</w:t>
            </w:r>
            <w:r w:rsidRPr="003175C1">
              <w:t xml:space="preserve">estimation prévisionnelle du nombre d’heures affectées au marché par site et par système, </w:t>
            </w:r>
            <w:r w:rsidR="00322EC2" w:rsidRPr="003175C1">
              <w:t xml:space="preserve">la </w:t>
            </w:r>
            <w:r w:rsidRPr="003175C1">
              <w:t>gestion des prises de connaissance du technicien titulaire du site, de la suppléance et des remplacements.</w:t>
            </w:r>
          </w:p>
          <w:p w14:paraId="7E132E7D" w14:textId="7C57161D" w:rsidR="00322EC2" w:rsidRPr="00322EC2" w:rsidRDefault="00322EC2" w:rsidP="00322EC2">
            <w:pPr>
              <w:pStyle w:val="RedaliaNormal"/>
              <w:numPr>
                <w:ilvl w:val="0"/>
                <w:numId w:val="8"/>
              </w:numPr>
              <w:rPr>
                <w:b/>
                <w:bCs/>
              </w:rPr>
            </w:pPr>
            <w:r w:rsidRPr="00B140FC">
              <w:rPr>
                <w:b/>
                <w:bCs/>
                <w:i/>
                <w:iCs/>
                <w:u w:val="single"/>
              </w:rPr>
              <w:t>Pour les moyens logistiques, techniques et bureautiques</w:t>
            </w:r>
            <w:r>
              <w:t xml:space="preserve">, il est attendu </w:t>
            </w:r>
            <w:r w:rsidR="005A7C0A">
              <w:t xml:space="preserve">une description des </w:t>
            </w:r>
            <w:r w:rsidRPr="005A7C0A">
              <w:t xml:space="preserve">moyens logistiques et techniques, </w:t>
            </w:r>
            <w:r w:rsidR="005A7C0A">
              <w:t xml:space="preserve">des </w:t>
            </w:r>
            <w:r w:rsidRPr="005A7C0A">
              <w:t xml:space="preserve">véhicules mis à disposition des intervenants de l’entreprise sur le site, </w:t>
            </w:r>
            <w:r w:rsidR="005A7C0A">
              <w:t xml:space="preserve">des </w:t>
            </w:r>
            <w:r w:rsidRPr="005A7C0A">
              <w:t>équipement</w:t>
            </w:r>
            <w:r w:rsidR="005A7C0A">
              <w:t>s</w:t>
            </w:r>
            <w:r w:rsidRPr="005A7C0A">
              <w:t xml:space="preserve"> des techniciens en moyens de communication, </w:t>
            </w:r>
            <w:r w:rsidR="005A7C0A">
              <w:t xml:space="preserve">des </w:t>
            </w:r>
            <w:r w:rsidRPr="005A7C0A">
              <w:t>équipement</w:t>
            </w:r>
            <w:r w:rsidR="005A7C0A">
              <w:t xml:space="preserve">s </w:t>
            </w:r>
            <w:r w:rsidRPr="005A7C0A">
              <w:t xml:space="preserve">des techniciens en outillage, </w:t>
            </w:r>
            <w:r w:rsidR="005A7C0A">
              <w:t xml:space="preserve">du </w:t>
            </w:r>
            <w:r w:rsidRPr="005A7C0A">
              <w:t>matériel bureautique et logiciels.</w:t>
            </w:r>
            <w:r w:rsidR="006819D9">
              <w:br/>
            </w:r>
          </w:p>
          <w:p w14:paraId="2A6CD5BC" w14:textId="42F10938" w:rsidR="001A3687" w:rsidRPr="00B140FC" w:rsidRDefault="00B140FC" w:rsidP="00B140FC">
            <w:pPr>
              <w:pStyle w:val="Paragraphedeliste"/>
              <w:numPr>
                <w:ilvl w:val="0"/>
                <w:numId w:val="8"/>
              </w:numPr>
              <w:rPr>
                <w:rFonts w:eastAsia="Open Sans"/>
                <w:color w:val="auto"/>
                <w:szCs w:val="20"/>
              </w:rPr>
            </w:pPr>
            <w:r w:rsidRPr="00B140FC">
              <w:rPr>
                <w:rFonts w:eastAsia="Open Sans"/>
                <w:b/>
                <w:bCs/>
                <w:i/>
                <w:iCs/>
                <w:color w:val="auto"/>
                <w:szCs w:val="20"/>
                <w:u w:val="single"/>
              </w:rPr>
              <w:t>Pour les moyens de traitement de l’information</w:t>
            </w:r>
            <w:r w:rsidRPr="00B140FC">
              <w:rPr>
                <w:rFonts w:eastAsia="Open Sans"/>
                <w:color w:val="auto"/>
                <w:szCs w:val="20"/>
              </w:rPr>
              <w:t>,</w:t>
            </w:r>
            <w:r>
              <w:rPr>
                <w:rFonts w:eastAsia="Open Sans"/>
                <w:color w:val="auto"/>
                <w:szCs w:val="20"/>
              </w:rPr>
              <w:t xml:space="preserve"> il est attendu du candidat une description des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équipements bureautiques et </w:t>
            </w:r>
            <w:r>
              <w:rPr>
                <w:rFonts w:eastAsia="Open Sans"/>
                <w:color w:val="auto"/>
                <w:szCs w:val="20"/>
              </w:rPr>
              <w:t xml:space="preserve">des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logiciels (y compris outils constructeurs) utilisés par l’entreprise pour l’exécution du marché, </w:t>
            </w:r>
            <w:r>
              <w:rPr>
                <w:rFonts w:eastAsia="Open Sans"/>
                <w:color w:val="auto"/>
                <w:szCs w:val="20"/>
              </w:rPr>
              <w:t xml:space="preserve">les </w:t>
            </w:r>
            <w:r w:rsidRPr="00B140FC">
              <w:rPr>
                <w:rFonts w:eastAsia="Open Sans"/>
                <w:color w:val="auto"/>
                <w:szCs w:val="20"/>
              </w:rPr>
              <w:t>outils de traçabilité des interventions (exemplaire anonymisé, GMAO),</w:t>
            </w:r>
            <w:r>
              <w:rPr>
                <w:rFonts w:eastAsia="Open Sans"/>
                <w:color w:val="auto"/>
                <w:szCs w:val="20"/>
              </w:rPr>
              <w:t xml:space="preserve"> les </w:t>
            </w:r>
            <w:r w:rsidRPr="00B140FC">
              <w:rPr>
                <w:rFonts w:eastAsia="Open Sans"/>
                <w:color w:val="auto"/>
                <w:szCs w:val="20"/>
              </w:rPr>
              <w:t xml:space="preserve">modalités d’établissement du bilan annuel d’activités et de maintenance, </w:t>
            </w:r>
            <w:r>
              <w:rPr>
                <w:rFonts w:eastAsia="Open Sans"/>
                <w:color w:val="auto"/>
                <w:szCs w:val="20"/>
              </w:rPr>
              <w:t xml:space="preserve">les </w:t>
            </w:r>
            <w:r w:rsidRPr="00B140FC">
              <w:rPr>
                <w:rFonts w:eastAsia="Open Sans"/>
                <w:color w:val="auto"/>
                <w:szCs w:val="20"/>
              </w:rPr>
              <w:t>modalités d’établissement des documents de fin de marché.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3CD0423" w14:textId="7622FFB2" w:rsidR="002054EE" w:rsidRDefault="002054EE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7B85915" w14:textId="77777777" w:rsidR="002054EE" w:rsidRDefault="002054EE">
      <w:pPr>
        <w:spacing w:after="160" w:line="259" w:lineRule="auto"/>
        <w:jc w:val="left"/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br w:type="page"/>
      </w:r>
    </w:p>
    <w:p w14:paraId="433F801F" w14:textId="77777777" w:rsidR="002054EE" w:rsidRDefault="002054EE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3B40E6D" w14:textId="77777777" w:rsidR="002054EE" w:rsidRDefault="002054EE" w:rsidP="002054EE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7642D91" w14:textId="4FF63580" w:rsidR="002054EE" w:rsidRPr="006A7883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2"/>
          <w:szCs w:val="22"/>
          <w:u w:val="single"/>
        </w:rPr>
        <w:t>3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 :</w:t>
      </w:r>
      <w:r w:rsidR="00F61D47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 </w:t>
      </w:r>
      <w:r w:rsidR="00F61D47" w:rsidRPr="00F61D47">
        <w:rPr>
          <w:rFonts w:eastAsia="Arial Unicode MS"/>
          <w:b/>
          <w:bCs/>
          <w:i/>
          <w:iCs/>
          <w:sz w:val="22"/>
          <w:szCs w:val="22"/>
          <w:u w:val="single"/>
        </w:rPr>
        <w:t>Adaptation de l’offre aux spécificités du site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 (</w:t>
      </w:r>
      <w:r w:rsidR="00B140FC">
        <w:rPr>
          <w:rFonts w:eastAsia="Arial Unicode MS"/>
          <w:b/>
          <w:bCs/>
          <w:i/>
          <w:iCs/>
          <w:sz w:val="22"/>
          <w:szCs w:val="22"/>
          <w:u w:val="single"/>
        </w:rPr>
        <w:t>30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%)</w:t>
      </w:r>
    </w:p>
    <w:p w14:paraId="3934F229" w14:textId="77777777" w:rsidR="002054EE" w:rsidRPr="006A7883" w:rsidRDefault="002054EE" w:rsidP="002054EE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2054EE" w:rsidRPr="006A7883" w14:paraId="0E0C6BC1" w14:textId="77777777" w:rsidTr="00E65F21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3F3AEA9B" w14:textId="77777777" w:rsidR="002054EE" w:rsidRPr="004E0A71" w:rsidRDefault="002054EE" w:rsidP="00E65F2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524722BC" w14:textId="77777777" w:rsidR="002054EE" w:rsidRPr="004E0A71" w:rsidRDefault="002054EE" w:rsidP="00E65F2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054EE" w:rsidRPr="006A7883" w14:paraId="279403B7" w14:textId="77777777" w:rsidTr="00E65F21">
        <w:trPr>
          <w:trHeight w:val="2098"/>
        </w:trPr>
        <w:tc>
          <w:tcPr>
            <w:tcW w:w="5807" w:type="dxa"/>
            <w:vAlign w:val="center"/>
          </w:tcPr>
          <w:p w14:paraId="31C6DA6F" w14:textId="616F85F8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  <w:rPr>
                <w:b/>
                <w:bCs/>
                <w:i/>
                <w:iCs/>
                <w:u w:val="single"/>
              </w:rPr>
            </w:pPr>
            <w:r w:rsidRPr="00943717">
              <w:rPr>
                <w:b/>
                <w:bCs/>
                <w:i/>
                <w:iCs/>
                <w:u w:val="single"/>
              </w:rPr>
              <w:t>Pour les d</w:t>
            </w:r>
            <w:r w:rsidR="00B140FC" w:rsidRPr="00943717">
              <w:rPr>
                <w:b/>
                <w:bCs/>
                <w:i/>
                <w:iCs/>
                <w:u w:val="single"/>
              </w:rPr>
              <w:t>ispositions pour la sécurité des patients et des travailleurs</w:t>
            </w:r>
            <w:r w:rsidRPr="00943717">
              <w:rPr>
                <w:b/>
                <w:bCs/>
                <w:i/>
                <w:iCs/>
              </w:rPr>
              <w:t xml:space="preserve">, </w:t>
            </w:r>
            <w:r w:rsidRPr="00943717">
              <w:t xml:space="preserve">il est attendu </w:t>
            </w:r>
            <w:r w:rsidR="006819D9">
              <w:t xml:space="preserve">du candidat </w:t>
            </w:r>
            <w:r w:rsidRPr="00943717">
              <w:t>une description</w:t>
            </w:r>
            <w:r>
              <w:t xml:space="preserve"> des </w:t>
            </w:r>
            <w:r w:rsidR="00B140FC" w:rsidRPr="00B140FC">
              <w:t xml:space="preserve">dispositions proposées par l’entreprise pour répondre aux spécificités de l’activité hospitalière, du matériel qu’elle a en charge de maintenir, </w:t>
            </w:r>
            <w:r>
              <w:t xml:space="preserve">les </w:t>
            </w:r>
            <w:r w:rsidR="00B140FC" w:rsidRPr="00B140FC">
              <w:t>mesures et équipements proposés pour limiter l’exposition des patients au risque aspergillaire,</w:t>
            </w:r>
            <w:r w:rsidR="006819D9">
              <w:t xml:space="preserve"> et une description des équi</w:t>
            </w:r>
            <w:r w:rsidR="00B140FC" w:rsidRPr="00B140FC">
              <w:t xml:space="preserve">pements et </w:t>
            </w:r>
            <w:r w:rsidR="006819D9">
              <w:t xml:space="preserve">des </w:t>
            </w:r>
            <w:r w:rsidR="00B140FC" w:rsidRPr="00B140FC">
              <w:t>mesures proposées pour garantir la sécurité des travailleurs</w:t>
            </w:r>
          </w:p>
          <w:p w14:paraId="34B6A579" w14:textId="4107BA40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Pour les di</w:t>
            </w:r>
            <w:r w:rsidRPr="00B140FC">
              <w:rPr>
                <w:b/>
                <w:bCs/>
                <w:i/>
                <w:iCs/>
                <w:u w:val="single"/>
              </w:rPr>
              <w:t>spositions pour la prise en charge des installations</w:t>
            </w:r>
            <w:r w:rsidR="006819D9">
              <w:rPr>
                <w:b/>
                <w:bCs/>
                <w:i/>
                <w:iCs/>
                <w:u w:val="single"/>
              </w:rPr>
              <w:t>,</w:t>
            </w:r>
            <w:r w:rsidR="006819D9" w:rsidRPr="006819D9">
              <w:rPr>
                <w:b/>
                <w:bCs/>
                <w:i/>
                <w:iCs/>
              </w:rPr>
              <w:t xml:space="preserve"> </w:t>
            </w:r>
            <w:r w:rsidRPr="006819D9">
              <w:t xml:space="preserve">il est </w:t>
            </w:r>
            <w:r w:rsidRPr="00943717">
              <w:t>attendu du candidat</w:t>
            </w:r>
            <w:r w:rsidRPr="00943717">
              <w:rPr>
                <w:i/>
                <w:iCs/>
              </w:rPr>
              <w:t xml:space="preserve"> </w:t>
            </w:r>
            <w:r>
              <w:t xml:space="preserve">qu’il communique les </w:t>
            </w:r>
            <w:r w:rsidR="00B140FC" w:rsidRPr="00B140FC">
              <w:t xml:space="preserve">modalités d’établissement et </w:t>
            </w:r>
            <w:r>
              <w:t xml:space="preserve">de </w:t>
            </w:r>
            <w:r w:rsidR="00B140FC" w:rsidRPr="00B140FC">
              <w:t>mise à jour de l’inventaire des installations, en cours de marché les modalités de prise en charge des nouvelles installations, et les conditions de mise à jour et de sauvegarde de la programmation des SSI.</w:t>
            </w:r>
          </w:p>
          <w:p w14:paraId="5DF6E1EE" w14:textId="7D6A663A" w:rsidR="00B140FC" w:rsidRPr="00B140FC" w:rsidRDefault="00943717" w:rsidP="00B140FC">
            <w:pPr>
              <w:pStyle w:val="RedaliaNormal"/>
              <w:numPr>
                <w:ilvl w:val="0"/>
                <w:numId w:val="8"/>
              </w:numPr>
            </w:pPr>
            <w:r>
              <w:rPr>
                <w:b/>
                <w:bCs/>
                <w:i/>
                <w:iCs/>
                <w:u w:val="single"/>
              </w:rPr>
              <w:t>Pour les d</w:t>
            </w:r>
            <w:r w:rsidRPr="00943717">
              <w:rPr>
                <w:b/>
                <w:bCs/>
                <w:i/>
                <w:iCs/>
                <w:u w:val="single"/>
              </w:rPr>
              <w:t>ispositions pour limiter l’indisponibilité des installations en cas de panne</w:t>
            </w:r>
            <w:r>
              <w:rPr>
                <w:b/>
                <w:bCs/>
                <w:i/>
                <w:iCs/>
                <w:u w:val="single"/>
              </w:rPr>
              <w:t>,</w:t>
            </w:r>
            <w:r w:rsidRPr="006819D9">
              <w:rPr>
                <w:b/>
                <w:bCs/>
                <w:i/>
                <w:iCs/>
              </w:rPr>
              <w:t xml:space="preserve"> </w:t>
            </w:r>
            <w:r w:rsidRPr="00943717">
              <w:t xml:space="preserve">il est attendu du candidat qu’il communique les </w:t>
            </w:r>
            <w:r w:rsidR="00B140FC" w:rsidRPr="00B140FC">
              <w:t>conditions d’approvisionnement et de reconditionnement des pièces détachées,</w:t>
            </w:r>
            <w:r w:rsidR="006819D9">
              <w:t xml:space="preserve"> le </w:t>
            </w:r>
            <w:r w:rsidR="00B140FC" w:rsidRPr="00B140FC">
              <w:t>contenu du stock de pièces détachées à disposition sur site et</w:t>
            </w:r>
            <w:r w:rsidR="006819D9">
              <w:t xml:space="preserve"> les</w:t>
            </w:r>
            <w:r w:rsidR="00B140FC" w:rsidRPr="00B140FC">
              <w:t xml:space="preserve"> autres dispositions proposées par l’entreprise.</w:t>
            </w:r>
          </w:p>
          <w:p w14:paraId="0D8E7C58" w14:textId="210C22E7" w:rsidR="002054EE" w:rsidRPr="004E0A71" w:rsidRDefault="002054EE" w:rsidP="00E65F21">
            <w:pPr>
              <w:rPr>
                <w:rFonts w:eastAsia="Arial Unicode MS"/>
              </w:rPr>
            </w:pPr>
          </w:p>
        </w:tc>
        <w:tc>
          <w:tcPr>
            <w:tcW w:w="8647" w:type="dxa"/>
            <w:vAlign w:val="center"/>
          </w:tcPr>
          <w:p w14:paraId="2E44FC69" w14:textId="77777777" w:rsidR="002054EE" w:rsidRPr="006A7883" w:rsidRDefault="002054EE" w:rsidP="00E65F2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745F4677" w14:textId="77777777" w:rsidR="002054EE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6FB87F7" w14:textId="195D97A9" w:rsidR="002054EE" w:rsidRDefault="002054EE" w:rsidP="002054EE">
      <w:pPr>
        <w:spacing w:after="160" w:line="259" w:lineRule="auto"/>
        <w:jc w:val="left"/>
        <w:rPr>
          <w:rFonts w:eastAsia="Arial Unicode MS"/>
          <w:b/>
          <w:bCs/>
          <w:i/>
          <w:iCs/>
          <w:sz w:val="22"/>
          <w:szCs w:val="22"/>
          <w:u w:val="single"/>
        </w:rPr>
      </w:pPr>
      <w:r>
        <w:rPr>
          <w:rFonts w:eastAsia="Arial Unicode MS"/>
          <w:b/>
          <w:bCs/>
          <w:i/>
          <w:iCs/>
          <w:sz w:val="22"/>
          <w:szCs w:val="22"/>
          <w:u w:val="single"/>
        </w:rPr>
        <w:br w:type="page"/>
      </w:r>
    </w:p>
    <w:p w14:paraId="4A9BDE14" w14:textId="77777777" w:rsidR="002054EE" w:rsidRDefault="002054EE" w:rsidP="002054EE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25900351" w14:textId="791B355E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Démarches environnementales et sociales mises en œuvre dans le cadre de l’exécution du 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61D47">
        <w:rPr>
          <w:rFonts w:eastAsia="Arial Unicode MS"/>
          <w:b/>
          <w:bCs/>
          <w:sz w:val="22"/>
          <w:szCs w:val="22"/>
          <w:u w:val="single"/>
        </w:rPr>
        <w:t>5</w:t>
      </w:r>
      <w:r w:rsidRPr="00F50743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26C9D0A3" w:rsidR="00F50743" w:rsidRPr="00F50743" w:rsidRDefault="00F50743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1 :  </w:t>
      </w:r>
      <w:r w:rsidR="00F61D47" w:rsidRP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Démarche environnementale employée par l’entreprise dans la réalisation des prestations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F61D47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CC15AA">
        <w:trPr>
          <w:trHeight w:val="1655"/>
          <w:jc w:val="center"/>
        </w:trPr>
        <w:tc>
          <w:tcPr>
            <w:tcW w:w="5665" w:type="dxa"/>
            <w:vAlign w:val="center"/>
          </w:tcPr>
          <w:p w14:paraId="6381975D" w14:textId="77777777" w:rsidR="00F61D47" w:rsidRPr="00F61D47" w:rsidRDefault="006A7156" w:rsidP="00F61D47">
            <w:pPr>
              <w:pStyle w:val="RedaliaNormal"/>
              <w:numPr>
                <w:ilvl w:val="0"/>
                <w:numId w:val="7"/>
              </w:numPr>
            </w:pPr>
            <w:r w:rsidRPr="00F61D47">
              <w:t xml:space="preserve"> </w:t>
            </w:r>
            <w:r w:rsidR="00F61D47" w:rsidRPr="00F61D47">
              <w:t>Il est attendu du candidat une description de l’organisation mise en œuvre pour le recyclage des batteries et des déchets communs, et le remplacement du matériel électronique.</w:t>
            </w:r>
          </w:p>
          <w:p w14:paraId="23DE6390" w14:textId="77777777" w:rsidR="00F50743" w:rsidRPr="00F61D47" w:rsidRDefault="00F50743" w:rsidP="00EA33BF">
            <w:pPr>
              <w:pStyle w:val="RedaliaNormal"/>
              <w:spacing w:before="0"/>
              <w:ind w:left="720"/>
            </w:pPr>
          </w:p>
          <w:p w14:paraId="559A2CFC" w14:textId="00ED9B61" w:rsidR="00F61D47" w:rsidRPr="00F61D47" w:rsidRDefault="00F61D47" w:rsidP="00F61D47">
            <w:pPr>
              <w:pStyle w:val="RedaliaNormal"/>
              <w:numPr>
                <w:ilvl w:val="0"/>
                <w:numId w:val="7"/>
              </w:numPr>
            </w:pPr>
            <w:r w:rsidRPr="00F61D47">
              <w:t>Il est attendu du candidat une description de l’organisation mise en œuvre pour optimiser les trajets et limiter les déplacements</w:t>
            </w:r>
            <w:r>
              <w:t xml:space="preserve"> véhiculés</w:t>
            </w:r>
            <w:r w:rsidRPr="00F61D47">
              <w:t>.</w:t>
            </w:r>
          </w:p>
          <w:p w14:paraId="2D3D201B" w14:textId="380B4838" w:rsidR="00F61D47" w:rsidRPr="00AD161B" w:rsidRDefault="00F61D47" w:rsidP="00EA33BF">
            <w:pPr>
              <w:pStyle w:val="RedaliaNormal"/>
              <w:spacing w:before="0"/>
              <w:ind w:left="720"/>
            </w:pP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0A8123F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F61D47" w:rsidRPr="00F61D47">
        <w:rPr>
          <w:rFonts w:eastAsia="Arial Unicode MS"/>
          <w:b/>
          <w:bCs/>
          <w:i/>
          <w:iCs/>
          <w:sz w:val="20"/>
          <w:szCs w:val="20"/>
          <w:u w:val="single"/>
        </w:rPr>
        <w:t>Démarche sociale employée par l’entreprise dans la réalisation des prestations</w:t>
      </w:r>
      <w:r w:rsidR="00F61D4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F61D47">
        <w:rPr>
          <w:rFonts w:eastAsia="Arial Unicode MS"/>
          <w:b/>
          <w:bCs/>
          <w:i/>
          <w:iCs/>
          <w:sz w:val="20"/>
          <w:szCs w:val="20"/>
          <w:u w:val="single"/>
        </w:rPr>
        <w:t>50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267920E0" w:rsidR="00F50743" w:rsidRPr="00AD161B" w:rsidRDefault="00F61D47" w:rsidP="00CC15AA">
            <w:pPr>
              <w:pStyle w:val="RedaliaNormal"/>
              <w:spacing w:before="0"/>
            </w:pPr>
            <w:r>
              <w:t>Il est attendu du candidat une présentation des démarches de l’entreprise concernant la qualité, la sécurité, et la RSE.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B579" w14:textId="77777777" w:rsidR="00872C9B" w:rsidRDefault="00872C9B" w:rsidP="00EB7C14">
      <w:r>
        <w:separator/>
      </w:r>
    </w:p>
  </w:endnote>
  <w:endnote w:type="continuationSeparator" w:id="0">
    <w:p w14:paraId="67FCE27A" w14:textId="77777777" w:rsidR="00872C9B" w:rsidRDefault="00872C9B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354817C0" w:rsidR="00EB7C14" w:rsidRPr="00892D25" w:rsidRDefault="00EB7C14" w:rsidP="00EB7C14">
          <w:pPr>
            <w:pStyle w:val="Pieddepage"/>
            <w:jc w:val="center"/>
          </w:pPr>
          <w:r w:rsidRPr="00892D25">
            <w:t>Consultation n°</w:t>
          </w:r>
          <w:r w:rsidR="001B3588">
            <w:t>26-042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478519BC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37AD4">
            <w:t>2</w:t>
          </w:r>
        </w:p>
      </w:tc>
      <w:tc>
        <w:tcPr>
          <w:tcW w:w="11057" w:type="dxa"/>
          <w:vAlign w:val="center"/>
        </w:tcPr>
        <w:p w14:paraId="29A95295" w14:textId="652DE450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2811E4">
            <w:t>2</w:t>
          </w:r>
          <w:r w:rsidR="00F427FF">
            <w:t>3/04/2025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594DF81F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 w:rsidR="001B3588" w:rsidRPr="001B3588">
            <w:t>26-042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7777777" w:rsidR="008A023E" w:rsidRPr="00892D25" w:rsidRDefault="008A023E" w:rsidP="008A023E">
          <w:pPr>
            <w:pStyle w:val="Pieddepage"/>
            <w:jc w:val="center"/>
          </w:pPr>
          <w:r>
            <w:t>Annexe 2</w:t>
          </w:r>
        </w:p>
      </w:tc>
      <w:tc>
        <w:tcPr>
          <w:tcW w:w="11057" w:type="dxa"/>
          <w:vAlign w:val="center"/>
        </w:tcPr>
        <w:p w14:paraId="198A354A" w14:textId="4131EF26" w:rsidR="008A023E" w:rsidRPr="00892D25" w:rsidRDefault="008A023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 w:rsidR="009C0BA2">
            <w:t>15</w:t>
          </w:r>
          <w:r w:rsidR="00F427FF">
            <w:t>/04/2025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6BD0B" w14:textId="77777777" w:rsidR="00872C9B" w:rsidRDefault="00872C9B" w:rsidP="00EB7C14">
      <w:r>
        <w:separator/>
      </w:r>
    </w:p>
  </w:footnote>
  <w:footnote w:type="continuationSeparator" w:id="0">
    <w:p w14:paraId="6187C99F" w14:textId="77777777" w:rsidR="00872C9B" w:rsidRDefault="00872C9B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F6CDA"/>
    <w:multiLevelType w:val="hybridMultilevel"/>
    <w:tmpl w:val="958207F0"/>
    <w:lvl w:ilvl="0" w:tplc="8DD25B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17F6"/>
    <w:multiLevelType w:val="hybridMultilevel"/>
    <w:tmpl w:val="4C7A7976"/>
    <w:lvl w:ilvl="0" w:tplc="22160FB8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13B52"/>
    <w:rsid w:val="001329AB"/>
    <w:rsid w:val="00190439"/>
    <w:rsid w:val="001944F6"/>
    <w:rsid w:val="001A2D7E"/>
    <w:rsid w:val="001A3687"/>
    <w:rsid w:val="001B3588"/>
    <w:rsid w:val="00200887"/>
    <w:rsid w:val="002054EE"/>
    <w:rsid w:val="002811E4"/>
    <w:rsid w:val="002B2883"/>
    <w:rsid w:val="003175C1"/>
    <w:rsid w:val="00322EC2"/>
    <w:rsid w:val="00327204"/>
    <w:rsid w:val="00337AD4"/>
    <w:rsid w:val="00352FE4"/>
    <w:rsid w:val="003579B3"/>
    <w:rsid w:val="00361A5E"/>
    <w:rsid w:val="0037007F"/>
    <w:rsid w:val="003F337F"/>
    <w:rsid w:val="004C4404"/>
    <w:rsid w:val="004C6184"/>
    <w:rsid w:val="00512446"/>
    <w:rsid w:val="00517EE8"/>
    <w:rsid w:val="005A7C0A"/>
    <w:rsid w:val="005B3C25"/>
    <w:rsid w:val="005E70B4"/>
    <w:rsid w:val="00616A39"/>
    <w:rsid w:val="00634E8A"/>
    <w:rsid w:val="006819D9"/>
    <w:rsid w:val="006A39A5"/>
    <w:rsid w:val="006A7156"/>
    <w:rsid w:val="006F390A"/>
    <w:rsid w:val="00712A2F"/>
    <w:rsid w:val="007264D9"/>
    <w:rsid w:val="007343AD"/>
    <w:rsid w:val="00741700"/>
    <w:rsid w:val="00751809"/>
    <w:rsid w:val="007C75BB"/>
    <w:rsid w:val="007D106F"/>
    <w:rsid w:val="007D4B55"/>
    <w:rsid w:val="00800DBE"/>
    <w:rsid w:val="00815F5A"/>
    <w:rsid w:val="008259BA"/>
    <w:rsid w:val="00872C9B"/>
    <w:rsid w:val="00883978"/>
    <w:rsid w:val="00896EE7"/>
    <w:rsid w:val="008A023E"/>
    <w:rsid w:val="008C5DB4"/>
    <w:rsid w:val="008D4FAE"/>
    <w:rsid w:val="008F37FE"/>
    <w:rsid w:val="00943717"/>
    <w:rsid w:val="00996590"/>
    <w:rsid w:val="009C0BA2"/>
    <w:rsid w:val="00A04993"/>
    <w:rsid w:val="00A8744D"/>
    <w:rsid w:val="00A93AF0"/>
    <w:rsid w:val="00AD161B"/>
    <w:rsid w:val="00B140FC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E6198"/>
    <w:rsid w:val="00CF57CD"/>
    <w:rsid w:val="00D07AF2"/>
    <w:rsid w:val="00D34E7F"/>
    <w:rsid w:val="00D75237"/>
    <w:rsid w:val="00DA61EB"/>
    <w:rsid w:val="00DE3E03"/>
    <w:rsid w:val="00E50639"/>
    <w:rsid w:val="00E86835"/>
    <w:rsid w:val="00E9689D"/>
    <w:rsid w:val="00EA08BF"/>
    <w:rsid w:val="00EA33BF"/>
    <w:rsid w:val="00EB7C14"/>
    <w:rsid w:val="00EC308D"/>
    <w:rsid w:val="00EE5FE4"/>
    <w:rsid w:val="00F22E8A"/>
    <w:rsid w:val="00F427FF"/>
    <w:rsid w:val="00F50743"/>
    <w:rsid w:val="00F61D47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6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BARAZA Leo</cp:lastModifiedBy>
  <cp:revision>54</cp:revision>
  <cp:lastPrinted>2025-04-15T08:12:00Z</cp:lastPrinted>
  <dcterms:created xsi:type="dcterms:W3CDTF">2024-02-27T14:13:00Z</dcterms:created>
  <dcterms:modified xsi:type="dcterms:W3CDTF">2025-12-03T13:11:00Z</dcterms:modified>
</cp:coreProperties>
</file>